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65179B">
        <w:rPr>
          <w:rFonts w:ascii="Arial" w:hAnsi="Arial" w:cs="Arial"/>
          <w:b/>
        </w:rPr>
        <w:t> </w:t>
      </w:r>
      <w:r w:rsidRPr="001E1421">
        <w:rPr>
          <w:rFonts w:ascii="Arial" w:hAnsi="Arial" w:cs="Arial"/>
          <w:b/>
        </w:rPr>
        <w:t>B</w:t>
      </w:r>
      <w:r w:rsidR="0065179B">
        <w:rPr>
          <w:rFonts w:ascii="Arial" w:hAnsi="Arial" w:cs="Arial"/>
          <w:b/>
        </w:rPr>
        <w:t>,</w:t>
      </w:r>
      <w:r w:rsidRPr="001E1421">
        <w:rPr>
          <w:rFonts w:ascii="Arial" w:hAnsi="Arial" w:cs="Arial"/>
          <w:b/>
        </w:rPr>
        <w:t xml:space="preserve">C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6A11B1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F62C22">
        <w:rPr>
          <w:rFonts w:ascii="Arial" w:hAnsi="Arial" w:cs="Arial"/>
        </w:rPr>
        <w:t>.</w:t>
      </w:r>
      <w:r w:rsidR="000F7582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F62C22">
      <w:pPr>
        <w:ind w:left="851" w:hanging="851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6A11B1">
        <w:rPr>
          <w:rFonts w:ascii="Arial" w:hAnsi="Arial" w:cs="Arial"/>
          <w:b/>
        </w:rPr>
        <w:t>Sposoby skutecznego bandażowania – rodzaje obwojów</w:t>
      </w:r>
      <w:r w:rsidR="006A3D27">
        <w:rPr>
          <w:rFonts w:ascii="Arial" w:hAnsi="Arial" w:cs="Arial"/>
          <w:b/>
        </w:rPr>
        <w:t xml:space="preserve"> </w:t>
      </w:r>
      <w:r w:rsidR="005E7B1F">
        <w:rPr>
          <w:rFonts w:ascii="Arial" w:hAnsi="Arial" w:cs="Arial"/>
          <w:b/>
        </w:rPr>
        <w:t>(1</w:t>
      </w:r>
      <w:r w:rsidR="006A3D27">
        <w:rPr>
          <w:rFonts w:ascii="Arial" w:hAnsi="Arial" w:cs="Arial"/>
          <w:b/>
        </w:rPr>
        <w:t> </w:t>
      </w:r>
      <w:r w:rsidR="005E7B1F">
        <w:rPr>
          <w:rFonts w:ascii="Arial" w:hAnsi="Arial" w:cs="Arial"/>
          <w:b/>
        </w:rPr>
        <w:t>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752E60" w:rsidRPr="00752E60" w:rsidRDefault="006A11B1" w:rsidP="00752E60">
      <w:pPr>
        <w:spacing w:line="276" w:lineRule="auto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Przeczytaj wiadomości </w:t>
      </w:r>
      <w:r w:rsidR="00752E60">
        <w:rPr>
          <w:rFonts w:ascii="Arial" w:hAnsi="Arial" w:cs="Arial"/>
        </w:rPr>
        <w:t xml:space="preserve">w podręczniku </w:t>
      </w:r>
      <w:bookmarkStart w:id="0" w:name="_GoBack"/>
      <w:bookmarkEnd w:id="0"/>
      <w:r>
        <w:rPr>
          <w:rFonts w:ascii="Arial" w:hAnsi="Arial" w:cs="Arial"/>
        </w:rPr>
        <w:t>ze str. 1</w:t>
      </w:r>
      <w:r w:rsidR="00752E60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-167, dokładnie przeanalizuj rodzaje </w:t>
      </w:r>
      <w:r w:rsidR="00752E60">
        <w:rPr>
          <w:rFonts w:ascii="Arial" w:hAnsi="Arial" w:cs="Arial"/>
        </w:rPr>
        <w:t>ob</w:t>
      </w:r>
      <w:r>
        <w:rPr>
          <w:rFonts w:ascii="Arial" w:hAnsi="Arial" w:cs="Arial"/>
        </w:rPr>
        <w:t>wojów</w:t>
      </w:r>
      <w:r w:rsidR="00752E60">
        <w:rPr>
          <w:rFonts w:ascii="Arial" w:hAnsi="Arial" w:cs="Arial"/>
        </w:rPr>
        <w:t>. Następnie wykonaj poniższe polecenia.</w:t>
      </w:r>
      <w:r w:rsidR="00752E60" w:rsidRPr="00752E60">
        <w:rPr>
          <w:rFonts w:ascii="Arial" w:hAnsi="Arial" w:cs="Arial"/>
        </w:rPr>
        <w:t xml:space="preserve"> </w:t>
      </w:r>
      <w:r w:rsidR="00752E60" w:rsidRPr="00752E60">
        <w:rPr>
          <w:rFonts w:ascii="Arial" w:hAnsi="Arial" w:cs="Arial"/>
          <w:u w:val="single"/>
        </w:rPr>
        <w:t>Pracę wyślij na mój adres e-mail</w:t>
      </w:r>
      <w:r w:rsidR="00752E60" w:rsidRPr="00752E60">
        <w:rPr>
          <w:rFonts w:ascii="Arial" w:hAnsi="Arial" w:cs="Arial"/>
          <w:u w:val="single"/>
        </w:rPr>
        <w:t xml:space="preserve"> do 08.05.2020 r.</w:t>
      </w:r>
      <w:r w:rsidR="00752E60" w:rsidRPr="00752E60">
        <w:rPr>
          <w:rFonts w:ascii="Arial" w:hAnsi="Arial" w:cs="Arial"/>
          <w:u w:val="single"/>
        </w:rPr>
        <w:t xml:space="preserve"> Praca zostanie oceniona.</w:t>
      </w:r>
    </w:p>
    <w:p w:rsidR="00752E60" w:rsidRPr="00752E60" w:rsidRDefault="00752E60" w:rsidP="00D27C6F">
      <w:pPr>
        <w:spacing w:line="276" w:lineRule="auto"/>
        <w:jc w:val="both"/>
        <w:outlineLvl w:val="0"/>
        <w:rPr>
          <w:rFonts w:ascii="Arial" w:hAnsi="Arial" w:cs="Arial"/>
          <w:u w:val="single"/>
        </w:rPr>
      </w:pPr>
    </w:p>
    <w:p w:rsidR="00752E60" w:rsidRDefault="00752E60" w:rsidP="00D27C6F">
      <w:pPr>
        <w:spacing w:line="276" w:lineRule="auto"/>
        <w:jc w:val="both"/>
        <w:outlineLvl w:val="0"/>
        <w:rPr>
          <w:rFonts w:ascii="Arial" w:hAnsi="Arial" w:cs="Arial"/>
        </w:rPr>
      </w:pPr>
    </w:p>
    <w:p w:rsidR="00D27C6F" w:rsidRDefault="00752E60" w:rsidP="00752E6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outlineLvl w:val="0"/>
        <w:rPr>
          <w:rFonts w:ascii="Arial" w:hAnsi="Arial" w:cs="Arial"/>
        </w:rPr>
      </w:pPr>
      <w:r w:rsidRPr="00752E60">
        <w:rPr>
          <w:rFonts w:ascii="Arial" w:hAnsi="Arial" w:cs="Arial"/>
        </w:rPr>
        <w:t>Z</w:t>
      </w:r>
      <w:r w:rsidR="006A11B1" w:rsidRPr="00752E60">
        <w:rPr>
          <w:rFonts w:ascii="Arial" w:hAnsi="Arial" w:cs="Arial"/>
        </w:rPr>
        <w:t xml:space="preserve">aznacz krzyżykami zdania prawdziwe (P) lub zdania fałszywe (F). </w:t>
      </w:r>
    </w:p>
    <w:p w:rsidR="00752E60" w:rsidRPr="00752E60" w:rsidRDefault="00752E60" w:rsidP="00752E60">
      <w:pPr>
        <w:pStyle w:val="Akapitzlist"/>
        <w:spacing w:line="276" w:lineRule="auto"/>
        <w:ind w:left="284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06"/>
        <w:gridCol w:w="851"/>
        <w:gridCol w:w="845"/>
      </w:tblGrid>
      <w:tr w:rsidR="006A11B1" w:rsidTr="006A11B1">
        <w:trPr>
          <w:jc w:val="center"/>
        </w:trPr>
        <w:tc>
          <w:tcPr>
            <w:tcW w:w="7006" w:type="dxa"/>
            <w:tcBorders>
              <w:top w:val="nil"/>
              <w:left w:val="nil"/>
            </w:tcBorders>
          </w:tcPr>
          <w:p w:rsidR="006A11B1" w:rsidRDefault="006A11B1" w:rsidP="00D27C6F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45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6A11B1" w:rsidTr="006A11B1">
        <w:trPr>
          <w:jc w:val="center"/>
        </w:trPr>
        <w:tc>
          <w:tcPr>
            <w:tcW w:w="7006" w:type="dxa"/>
          </w:tcPr>
          <w:p w:rsidR="006A11B1" w:rsidRPr="006A11B1" w:rsidRDefault="006A11B1" w:rsidP="00D27C6F">
            <w:pPr>
              <w:spacing w:line="276" w:lineRule="auto"/>
              <w:jc w:val="both"/>
              <w:outlineLvl w:val="0"/>
              <w:rPr>
                <w:rFonts w:ascii="Arial" w:hAnsi="Arial" w:cs="Arial"/>
                <w:b w:val="0"/>
              </w:rPr>
            </w:pPr>
            <w:r w:rsidRPr="006A11B1">
              <w:rPr>
                <w:rFonts w:ascii="Arial" w:hAnsi="Arial" w:cs="Arial"/>
                <w:b w:val="0"/>
              </w:rPr>
              <w:t>Utrata już około 15% objętości krwi krążącej może wywoływać objawy wstrząsu krwotocznego i stan zagrożenia życia.</w:t>
            </w:r>
          </w:p>
        </w:tc>
        <w:tc>
          <w:tcPr>
            <w:tcW w:w="851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A11B1" w:rsidTr="006A11B1">
        <w:trPr>
          <w:jc w:val="center"/>
        </w:trPr>
        <w:tc>
          <w:tcPr>
            <w:tcW w:w="7006" w:type="dxa"/>
          </w:tcPr>
          <w:p w:rsidR="006A11B1" w:rsidRPr="006A11B1" w:rsidRDefault="006A11B1" w:rsidP="00D27C6F">
            <w:pPr>
              <w:spacing w:line="276" w:lineRule="auto"/>
              <w:jc w:val="both"/>
              <w:outlineLvl w:val="0"/>
              <w:rPr>
                <w:rFonts w:ascii="Arial" w:hAnsi="Arial" w:cs="Arial"/>
                <w:b w:val="0"/>
              </w:rPr>
            </w:pPr>
            <w:r w:rsidRPr="006A11B1">
              <w:rPr>
                <w:rFonts w:ascii="Arial" w:hAnsi="Arial" w:cs="Arial"/>
                <w:b w:val="0"/>
              </w:rPr>
              <w:t>Krwotok wewnętrzny nigdy nie jest tak niebezpieczny jak krwotok zewnętrzny, ponieważ krew pozostaje w obrębie ciała poszkodowanego.</w:t>
            </w:r>
          </w:p>
        </w:tc>
        <w:tc>
          <w:tcPr>
            <w:tcW w:w="851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A11B1" w:rsidTr="006A11B1">
        <w:trPr>
          <w:jc w:val="center"/>
        </w:trPr>
        <w:tc>
          <w:tcPr>
            <w:tcW w:w="7006" w:type="dxa"/>
          </w:tcPr>
          <w:p w:rsidR="006A11B1" w:rsidRPr="006A11B1" w:rsidRDefault="006A11B1" w:rsidP="00D27C6F">
            <w:pPr>
              <w:spacing w:line="276" w:lineRule="auto"/>
              <w:jc w:val="both"/>
              <w:outlineLvl w:val="0"/>
              <w:rPr>
                <w:rFonts w:ascii="Arial" w:hAnsi="Arial" w:cs="Arial"/>
                <w:b w:val="0"/>
              </w:rPr>
            </w:pPr>
            <w:r w:rsidRPr="006A11B1">
              <w:rPr>
                <w:rFonts w:ascii="Arial" w:hAnsi="Arial" w:cs="Arial"/>
                <w:b w:val="0"/>
              </w:rPr>
              <w:t>Obwój wężowy służy głównie do podwiązywania kończyn do szyn i innych przedmiotów unieruchamiających.</w:t>
            </w:r>
          </w:p>
        </w:tc>
        <w:tc>
          <w:tcPr>
            <w:tcW w:w="851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A11B1" w:rsidTr="006A11B1">
        <w:trPr>
          <w:jc w:val="center"/>
        </w:trPr>
        <w:tc>
          <w:tcPr>
            <w:tcW w:w="7006" w:type="dxa"/>
          </w:tcPr>
          <w:p w:rsidR="006A11B1" w:rsidRPr="006A11B1" w:rsidRDefault="006A11B1" w:rsidP="00D27C6F">
            <w:pPr>
              <w:spacing w:line="276" w:lineRule="auto"/>
              <w:jc w:val="both"/>
              <w:outlineLvl w:val="0"/>
              <w:rPr>
                <w:rFonts w:ascii="Arial" w:hAnsi="Arial" w:cs="Arial"/>
                <w:b w:val="0"/>
              </w:rPr>
            </w:pPr>
            <w:r w:rsidRPr="006A11B1">
              <w:rPr>
                <w:rFonts w:ascii="Arial" w:hAnsi="Arial" w:cs="Arial"/>
                <w:b w:val="0"/>
              </w:rPr>
              <w:t>Opaskę zaciskową zakłada się na kończynę powyżej miejsca zranienia, gdy – mimo założenia opatrunku uciskowego i uciskania dużej tętnicy – krwotok nie ustępuje.</w:t>
            </w:r>
          </w:p>
        </w:tc>
        <w:tc>
          <w:tcPr>
            <w:tcW w:w="851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6A11B1" w:rsidTr="006A11B1">
        <w:trPr>
          <w:jc w:val="center"/>
        </w:trPr>
        <w:tc>
          <w:tcPr>
            <w:tcW w:w="7006" w:type="dxa"/>
          </w:tcPr>
          <w:p w:rsidR="006A11B1" w:rsidRPr="006A11B1" w:rsidRDefault="006A11B1" w:rsidP="00D27C6F">
            <w:pPr>
              <w:spacing w:line="276" w:lineRule="auto"/>
              <w:jc w:val="both"/>
              <w:outlineLvl w:val="0"/>
              <w:rPr>
                <w:rFonts w:ascii="Arial" w:hAnsi="Arial" w:cs="Arial"/>
                <w:b w:val="0"/>
              </w:rPr>
            </w:pPr>
            <w:r w:rsidRPr="006A11B1">
              <w:rPr>
                <w:rFonts w:ascii="Arial" w:hAnsi="Arial" w:cs="Arial"/>
                <w:b w:val="0"/>
              </w:rPr>
              <w:t>W razie dużego urazu brzucha i wypadnięcia jelit na zewnątrz trzeba je przed założeniem opatrunku wprowadzić do jamy ciała.</w:t>
            </w:r>
          </w:p>
        </w:tc>
        <w:tc>
          <w:tcPr>
            <w:tcW w:w="851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6A11B1" w:rsidRDefault="006A11B1" w:rsidP="006A11B1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</w:p>
    <w:p w:rsidR="00752E60" w:rsidRDefault="00752E60" w:rsidP="00752E6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Uzupełnij luki, aby powtórzyć podstawowe zasady postępowania podczas opatrywania ran.</w:t>
      </w:r>
    </w:p>
    <w:p w:rsidR="00752E60" w:rsidRDefault="00752E60" w:rsidP="00752E60">
      <w:pPr>
        <w:pStyle w:val="Akapitzlist"/>
        <w:spacing w:line="276" w:lineRule="auto"/>
        <w:ind w:left="0"/>
        <w:jc w:val="both"/>
        <w:outlineLvl w:val="0"/>
        <w:rPr>
          <w:rFonts w:ascii="Arial" w:hAnsi="Arial" w:cs="Arial"/>
        </w:rPr>
      </w:pP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 wyniku kontaktu z krwią przenosi się wiele chorób, dlatego ratownik musi się zabezpieczyć - …………………………………………………………………………………</w:t>
      </w: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Gdy opatruje się krwawiącą ranę, poszkodowany powinien się znajdować w pozycji ……………………………………………, gdyż………………………………………………</w:t>
      </w: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Materiały opatrunkowe są sterylne, dlatego nie należy……………………………………</w:t>
      </w: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Jeśli kończyna krwawi, trzeba ………………………………………………………………..</w:t>
      </w:r>
    </w:p>
    <w:p w:rsidR="00752E60" w:rsidRP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 ………………………………………………………………………………………………….</w:t>
      </w: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Jeżeli krew intensywnie przesiąka przez opatrunek, ………………………………………</w:t>
      </w: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Jeśli głęboko w ranie tkwi ciało obce, ……………………………………………………….</w:t>
      </w: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</w:p>
    <w:p w:rsidR="00752E60" w:rsidRDefault="00752E60" w:rsidP="00752E60">
      <w:pPr>
        <w:spacing w:line="276" w:lineRule="auto"/>
        <w:jc w:val="both"/>
        <w:outlineLvl w:val="0"/>
        <w:rPr>
          <w:rFonts w:ascii="Arial" w:hAnsi="Arial" w:cs="Arial"/>
        </w:rPr>
      </w:pPr>
    </w:p>
    <w:p w:rsidR="00D27C6F" w:rsidRPr="00D27C6F" w:rsidRDefault="00D27C6F" w:rsidP="00D27C6F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sectPr w:rsidR="00D27C6F" w:rsidRPr="00D27C6F" w:rsidSect="00FC17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51" w:rsidRDefault="00315151">
      <w:r>
        <w:separator/>
      </w:r>
    </w:p>
  </w:endnote>
  <w:endnote w:type="continuationSeparator" w:id="0">
    <w:p w:rsidR="00315151" w:rsidRDefault="0031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315151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51" w:rsidRDefault="00315151">
      <w:r>
        <w:separator/>
      </w:r>
    </w:p>
  </w:footnote>
  <w:footnote w:type="continuationSeparator" w:id="0">
    <w:p w:rsidR="00315151" w:rsidRDefault="0031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86480A"/>
    <w:multiLevelType w:val="hybridMultilevel"/>
    <w:tmpl w:val="FD74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4771"/>
    <w:multiLevelType w:val="hybridMultilevel"/>
    <w:tmpl w:val="AB62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140B"/>
    <w:multiLevelType w:val="hybridMultilevel"/>
    <w:tmpl w:val="FD74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058CF"/>
    <w:multiLevelType w:val="hybridMultilevel"/>
    <w:tmpl w:val="69A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3384"/>
    <w:multiLevelType w:val="hybridMultilevel"/>
    <w:tmpl w:val="0B34039A"/>
    <w:lvl w:ilvl="0" w:tplc="FA507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83F85"/>
    <w:multiLevelType w:val="hybridMultilevel"/>
    <w:tmpl w:val="A9F49128"/>
    <w:lvl w:ilvl="0" w:tplc="234ECC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000D53"/>
    <w:rsid w:val="000F15F0"/>
    <w:rsid w:val="000F7582"/>
    <w:rsid w:val="001E1421"/>
    <w:rsid w:val="002613CE"/>
    <w:rsid w:val="002954BA"/>
    <w:rsid w:val="00315151"/>
    <w:rsid w:val="00426A43"/>
    <w:rsid w:val="005E7B1F"/>
    <w:rsid w:val="0065179B"/>
    <w:rsid w:val="006A11B1"/>
    <w:rsid w:val="006A3D27"/>
    <w:rsid w:val="006B6BDF"/>
    <w:rsid w:val="006F67FB"/>
    <w:rsid w:val="00752E60"/>
    <w:rsid w:val="007910BD"/>
    <w:rsid w:val="00796487"/>
    <w:rsid w:val="00857F70"/>
    <w:rsid w:val="00920E2B"/>
    <w:rsid w:val="00A3270D"/>
    <w:rsid w:val="00B440C9"/>
    <w:rsid w:val="00CC2BBD"/>
    <w:rsid w:val="00D27C6F"/>
    <w:rsid w:val="00D70040"/>
    <w:rsid w:val="00E371CA"/>
    <w:rsid w:val="00F419B3"/>
    <w:rsid w:val="00F51C51"/>
    <w:rsid w:val="00F62C22"/>
    <w:rsid w:val="00F8177D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7E7B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D346-07D4-4028-AEB2-0919918E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2</cp:revision>
  <dcterms:created xsi:type="dcterms:W3CDTF">2020-05-03T19:58:00Z</dcterms:created>
  <dcterms:modified xsi:type="dcterms:W3CDTF">2020-05-03T19:58:00Z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